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84" w:rsidRDefault="00806084">
      <w:r>
        <w:rPr>
          <w:b/>
          <w:sz w:val="28"/>
          <w:szCs w:val="28"/>
          <w:u w:val="single"/>
        </w:rPr>
        <w:t>Concurrent Enrollment – Legislative Brief</w:t>
      </w:r>
    </w:p>
    <w:p w:rsidR="00806084" w:rsidRDefault="00806084"/>
    <w:tbl>
      <w:tblPr>
        <w:tblStyle w:val="TableGrid"/>
        <w:tblW w:w="0" w:type="auto"/>
        <w:tblInd w:w="0" w:type="dxa"/>
        <w:tblLook w:val="04A0" w:firstRow="1" w:lastRow="0" w:firstColumn="1" w:lastColumn="0" w:noHBand="0" w:noVBand="1"/>
      </w:tblPr>
      <w:tblGrid>
        <w:gridCol w:w="1721"/>
        <w:gridCol w:w="5204"/>
      </w:tblGrid>
      <w:tr w:rsidR="00806084" w:rsidTr="00806084">
        <w:tc>
          <w:tcPr>
            <w:tcW w:w="1721" w:type="dxa"/>
            <w:tcBorders>
              <w:top w:val="single" w:sz="4" w:space="0" w:color="auto"/>
              <w:left w:val="single" w:sz="4" w:space="0" w:color="auto"/>
              <w:bottom w:val="single" w:sz="4" w:space="0" w:color="auto"/>
              <w:right w:val="single" w:sz="4" w:space="0" w:color="auto"/>
            </w:tcBorders>
          </w:tcPr>
          <w:p w:rsidR="00806084" w:rsidRDefault="00806084">
            <w:pPr>
              <w:spacing w:line="240" w:lineRule="auto"/>
              <w:rPr>
                <w:b/>
                <w:sz w:val="24"/>
                <w:szCs w:val="24"/>
              </w:rPr>
            </w:pPr>
            <w:r>
              <w:rPr>
                <w:b/>
                <w:sz w:val="24"/>
                <w:szCs w:val="24"/>
              </w:rPr>
              <w:t>Appropriations to the Office of Higher Education</w:t>
            </w:r>
          </w:p>
          <w:p w:rsidR="00806084" w:rsidRDefault="00806084">
            <w:pPr>
              <w:spacing w:line="240" w:lineRule="auto"/>
              <w:rPr>
                <w:b/>
                <w:sz w:val="24"/>
                <w:szCs w:val="24"/>
              </w:rPr>
            </w:pPr>
          </w:p>
        </w:tc>
        <w:tc>
          <w:tcPr>
            <w:tcW w:w="5204" w:type="dxa"/>
            <w:tcBorders>
              <w:top w:val="single" w:sz="4" w:space="0" w:color="auto"/>
              <w:left w:val="single" w:sz="4" w:space="0" w:color="auto"/>
              <w:bottom w:val="single" w:sz="4" w:space="0" w:color="auto"/>
              <w:right w:val="single" w:sz="4" w:space="0" w:color="auto"/>
            </w:tcBorders>
          </w:tcPr>
          <w:p w:rsidR="00806084" w:rsidRDefault="00806084">
            <w:pPr>
              <w:spacing w:line="240" w:lineRule="auto"/>
              <w:rPr>
                <w:sz w:val="24"/>
                <w:szCs w:val="24"/>
              </w:rPr>
            </w:pPr>
            <w:r>
              <w:rPr>
                <w:sz w:val="24"/>
                <w:szCs w:val="24"/>
              </w:rPr>
              <w:t>$225,000 each year of the biennium for grants to develop new concurrent enrollment courses that satisfy the elective standard for career and technical education.</w:t>
            </w:r>
          </w:p>
          <w:p w:rsidR="00806084" w:rsidRDefault="00806084">
            <w:pPr>
              <w:spacing w:line="240" w:lineRule="auto"/>
              <w:rPr>
                <w:sz w:val="24"/>
                <w:szCs w:val="24"/>
              </w:rPr>
            </w:pPr>
          </w:p>
          <w:p w:rsidR="00806084" w:rsidRDefault="00806084">
            <w:pPr>
              <w:spacing w:line="240" w:lineRule="auto"/>
              <w:rPr>
                <w:sz w:val="24"/>
                <w:szCs w:val="24"/>
              </w:rPr>
            </w:pPr>
            <w:r>
              <w:rPr>
                <w:sz w:val="24"/>
                <w:szCs w:val="24"/>
              </w:rPr>
              <w:t>$115,000 each year of the biennium for grants to postsecondary institutions currently sponsoring a concurrent enrollment course to expand existing programs; priority will be given to programs already at capacity.</w:t>
            </w:r>
          </w:p>
          <w:p w:rsidR="00806084" w:rsidRDefault="00806084">
            <w:pPr>
              <w:spacing w:line="240" w:lineRule="auto"/>
              <w:rPr>
                <w:sz w:val="24"/>
                <w:szCs w:val="24"/>
              </w:rPr>
            </w:pPr>
          </w:p>
        </w:tc>
      </w:tr>
      <w:tr w:rsidR="00806084" w:rsidTr="00806084">
        <w:tc>
          <w:tcPr>
            <w:tcW w:w="1721" w:type="dxa"/>
            <w:tcBorders>
              <w:top w:val="single" w:sz="4" w:space="0" w:color="auto"/>
              <w:left w:val="single" w:sz="4" w:space="0" w:color="auto"/>
              <w:bottom w:val="single" w:sz="4" w:space="0" w:color="auto"/>
              <w:right w:val="single" w:sz="4" w:space="0" w:color="auto"/>
            </w:tcBorders>
          </w:tcPr>
          <w:p w:rsidR="00806084" w:rsidRDefault="00806084">
            <w:pPr>
              <w:spacing w:line="240" w:lineRule="auto"/>
              <w:rPr>
                <w:b/>
                <w:sz w:val="24"/>
                <w:szCs w:val="24"/>
              </w:rPr>
            </w:pPr>
            <w:r>
              <w:rPr>
                <w:b/>
                <w:sz w:val="24"/>
                <w:szCs w:val="24"/>
              </w:rPr>
              <w:t>Concurrent Enrollment Participant Survey</w:t>
            </w: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r>
              <w:rPr>
                <w:b/>
                <w:sz w:val="24"/>
                <w:szCs w:val="24"/>
              </w:rPr>
              <w:t xml:space="preserve">Concurrent Enrollment Participant Survey, </w:t>
            </w:r>
            <w:r>
              <w:rPr>
                <w:i/>
                <w:sz w:val="24"/>
                <w:szCs w:val="24"/>
              </w:rPr>
              <w:t>continued</w:t>
            </w:r>
          </w:p>
          <w:p w:rsidR="00806084" w:rsidRDefault="00806084">
            <w:pPr>
              <w:spacing w:line="240" w:lineRule="auto"/>
              <w:rPr>
                <w:b/>
                <w:sz w:val="24"/>
                <w:szCs w:val="24"/>
              </w:rPr>
            </w:pPr>
          </w:p>
          <w:p w:rsidR="00806084" w:rsidRDefault="00806084">
            <w:pPr>
              <w:spacing w:line="240" w:lineRule="auto"/>
              <w:rPr>
                <w:b/>
                <w:sz w:val="24"/>
                <w:szCs w:val="24"/>
              </w:rPr>
            </w:pPr>
          </w:p>
        </w:tc>
        <w:tc>
          <w:tcPr>
            <w:tcW w:w="5204" w:type="dxa"/>
            <w:tcBorders>
              <w:top w:val="single" w:sz="4" w:space="0" w:color="auto"/>
              <w:left w:val="single" w:sz="4" w:space="0" w:color="auto"/>
              <w:bottom w:val="single" w:sz="4" w:space="0" w:color="auto"/>
              <w:right w:val="single" w:sz="4" w:space="0" w:color="auto"/>
            </w:tcBorders>
          </w:tcPr>
          <w:p w:rsidR="00806084" w:rsidRDefault="00806084">
            <w:pPr>
              <w:spacing w:line="240" w:lineRule="auto"/>
              <w:rPr>
                <w:sz w:val="24"/>
                <w:szCs w:val="24"/>
              </w:rPr>
            </w:pPr>
            <w:r>
              <w:rPr>
                <w:sz w:val="24"/>
                <w:szCs w:val="24"/>
              </w:rPr>
              <w:t>NACEP-accredited postsecondary concurrent enrollment programs must report all required NACEP evaluative survey results.</w:t>
            </w:r>
          </w:p>
          <w:p w:rsidR="00806084" w:rsidRDefault="00806084">
            <w:pPr>
              <w:pStyle w:val="ListParagraph"/>
              <w:spacing w:line="240" w:lineRule="auto"/>
              <w:rPr>
                <w:sz w:val="24"/>
                <w:szCs w:val="24"/>
              </w:rPr>
            </w:pPr>
          </w:p>
          <w:p w:rsidR="00806084" w:rsidRDefault="00806084">
            <w:pPr>
              <w:spacing w:line="240" w:lineRule="auto"/>
              <w:rPr>
                <w:sz w:val="24"/>
                <w:szCs w:val="24"/>
              </w:rPr>
            </w:pPr>
            <w:r>
              <w:rPr>
                <w:sz w:val="24"/>
                <w:szCs w:val="24"/>
              </w:rPr>
              <w:t xml:space="preserve">Postsecondary institutions that are not NACEP accredited are required to conduct an annual survey of students one year out of high school, beginning with the high school graduating class of 2016. </w:t>
            </w:r>
          </w:p>
          <w:p w:rsidR="00806084" w:rsidRDefault="00806084">
            <w:pPr>
              <w:spacing w:line="240" w:lineRule="auto"/>
              <w:rPr>
                <w:sz w:val="24"/>
                <w:szCs w:val="24"/>
              </w:rPr>
            </w:pPr>
          </w:p>
          <w:p w:rsidR="00806084" w:rsidRDefault="00806084">
            <w:pPr>
              <w:spacing w:line="240" w:lineRule="auto"/>
              <w:rPr>
                <w:sz w:val="24"/>
                <w:szCs w:val="24"/>
              </w:rPr>
            </w:pPr>
            <w:r>
              <w:rPr>
                <w:sz w:val="24"/>
                <w:szCs w:val="24"/>
              </w:rPr>
              <w:t xml:space="preserve">The survey must include, at a minimum, the following student information: </w:t>
            </w:r>
          </w:p>
          <w:p w:rsidR="00806084" w:rsidRDefault="00806084">
            <w:pPr>
              <w:spacing w:line="240" w:lineRule="auto"/>
              <w:rPr>
                <w:sz w:val="24"/>
                <w:szCs w:val="24"/>
              </w:rPr>
            </w:pPr>
            <w:r>
              <w:rPr>
                <w:sz w:val="24"/>
                <w:szCs w:val="24"/>
              </w:rPr>
              <w:t xml:space="preserve">(1) the participant's future education plans, including the highest degree or certification planned; </w:t>
            </w:r>
          </w:p>
          <w:p w:rsidR="00806084" w:rsidRDefault="00806084">
            <w:pPr>
              <w:spacing w:line="240" w:lineRule="auto"/>
              <w:rPr>
                <w:sz w:val="24"/>
                <w:szCs w:val="24"/>
              </w:rPr>
            </w:pPr>
            <w:r>
              <w:rPr>
                <w:sz w:val="24"/>
                <w:szCs w:val="24"/>
              </w:rPr>
              <w:t xml:space="preserve">(2) whether the participant is enrolled or plans to enroll in a Minnesota postsecondary institution, either public or private; </w:t>
            </w:r>
          </w:p>
          <w:p w:rsidR="00806084" w:rsidRDefault="00806084">
            <w:pPr>
              <w:spacing w:line="240" w:lineRule="auto"/>
              <w:rPr>
                <w:sz w:val="24"/>
                <w:szCs w:val="24"/>
              </w:rPr>
            </w:pPr>
            <w:r>
              <w:rPr>
                <w:sz w:val="24"/>
                <w:szCs w:val="24"/>
              </w:rPr>
              <w:t xml:space="preserve">(3) the number of credits accepted or denied by postsecondary institutions; </w:t>
            </w:r>
          </w:p>
          <w:p w:rsidR="00806084" w:rsidRDefault="00806084">
            <w:pPr>
              <w:spacing w:line="240" w:lineRule="auto"/>
              <w:rPr>
                <w:sz w:val="24"/>
                <w:szCs w:val="24"/>
              </w:rPr>
            </w:pPr>
            <w:r>
              <w:rPr>
                <w:sz w:val="24"/>
                <w:szCs w:val="24"/>
              </w:rPr>
              <w:t xml:space="preserve">(4) the college or university attended; </w:t>
            </w:r>
          </w:p>
          <w:p w:rsidR="00806084" w:rsidRDefault="00806084">
            <w:pPr>
              <w:spacing w:line="240" w:lineRule="auto"/>
              <w:rPr>
                <w:sz w:val="24"/>
                <w:szCs w:val="24"/>
              </w:rPr>
            </w:pPr>
            <w:r>
              <w:rPr>
                <w:sz w:val="24"/>
                <w:szCs w:val="24"/>
              </w:rPr>
              <w:t xml:space="preserve">(5) the participant's satisfaction level with the concurrent enrollment program; </w:t>
            </w:r>
          </w:p>
          <w:p w:rsidR="00806084" w:rsidRDefault="00806084">
            <w:pPr>
              <w:spacing w:line="240" w:lineRule="auto"/>
              <w:rPr>
                <w:sz w:val="24"/>
                <w:szCs w:val="24"/>
              </w:rPr>
            </w:pPr>
            <w:r>
              <w:rPr>
                <w:sz w:val="24"/>
                <w:szCs w:val="24"/>
              </w:rPr>
              <w:t xml:space="preserve">(6) the participant's demographics, such as gender, parent education level, qualification for free or reduced-price lunch in high school, Pell grant qualification and ethnicity; and </w:t>
            </w:r>
          </w:p>
          <w:p w:rsidR="00806084" w:rsidRDefault="00806084">
            <w:pPr>
              <w:spacing w:line="240" w:lineRule="auto"/>
              <w:rPr>
                <w:sz w:val="24"/>
                <w:szCs w:val="24"/>
              </w:rPr>
            </w:pPr>
            <w:r>
              <w:rPr>
                <w:sz w:val="24"/>
                <w:szCs w:val="24"/>
              </w:rPr>
              <w:t xml:space="preserve">(7) </w:t>
            </w:r>
            <w:proofErr w:type="gramStart"/>
            <w:r>
              <w:rPr>
                <w:sz w:val="24"/>
                <w:szCs w:val="24"/>
              </w:rPr>
              <w:t>a</w:t>
            </w:r>
            <w:proofErr w:type="gramEnd"/>
            <w:r>
              <w:rPr>
                <w:sz w:val="24"/>
                <w:szCs w:val="24"/>
              </w:rPr>
              <w:t xml:space="preserve"> place for participants to provide comments.</w:t>
            </w:r>
          </w:p>
          <w:p w:rsidR="00806084" w:rsidRDefault="00806084">
            <w:pPr>
              <w:spacing w:line="240" w:lineRule="auto"/>
              <w:rPr>
                <w:sz w:val="24"/>
                <w:szCs w:val="24"/>
              </w:rPr>
            </w:pPr>
          </w:p>
          <w:p w:rsidR="00806084" w:rsidRDefault="00806084">
            <w:pPr>
              <w:spacing w:line="240" w:lineRule="auto"/>
              <w:rPr>
                <w:sz w:val="24"/>
                <w:szCs w:val="24"/>
              </w:rPr>
            </w:pPr>
            <w:r>
              <w:rPr>
                <w:sz w:val="24"/>
                <w:szCs w:val="24"/>
              </w:rPr>
              <w:lastRenderedPageBreak/>
              <w:t>Survey reports must be submitted by September 1 of each year to the Office of Higher Education and the Department of Education, whom will compile a final report by December 1 to the legislature.</w:t>
            </w:r>
          </w:p>
          <w:p w:rsidR="00806084" w:rsidRDefault="00806084">
            <w:pPr>
              <w:spacing w:line="240" w:lineRule="auto"/>
              <w:rPr>
                <w:sz w:val="24"/>
                <w:szCs w:val="24"/>
              </w:rPr>
            </w:pPr>
          </w:p>
        </w:tc>
      </w:tr>
      <w:tr w:rsidR="00806084" w:rsidTr="00806084">
        <w:tc>
          <w:tcPr>
            <w:tcW w:w="1721" w:type="dxa"/>
            <w:tcBorders>
              <w:top w:val="single" w:sz="4" w:space="0" w:color="auto"/>
              <w:left w:val="single" w:sz="4" w:space="0" w:color="auto"/>
              <w:bottom w:val="single" w:sz="4" w:space="0" w:color="auto"/>
              <w:right w:val="single" w:sz="4" w:space="0" w:color="auto"/>
            </w:tcBorders>
          </w:tcPr>
          <w:p w:rsidR="00806084" w:rsidRDefault="00806084">
            <w:pPr>
              <w:spacing w:line="240" w:lineRule="auto"/>
              <w:rPr>
                <w:b/>
                <w:sz w:val="24"/>
                <w:szCs w:val="24"/>
              </w:rPr>
            </w:pPr>
            <w:r>
              <w:rPr>
                <w:b/>
                <w:sz w:val="24"/>
                <w:szCs w:val="24"/>
              </w:rPr>
              <w:lastRenderedPageBreak/>
              <w:t>Concurrent Enrollment Advisory Board; Membership; Duties</w:t>
            </w: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r>
              <w:rPr>
                <w:b/>
                <w:sz w:val="24"/>
                <w:szCs w:val="24"/>
              </w:rPr>
              <w:t xml:space="preserve">Concurrent Enrollment Advisory Board; Membership; Duties, </w:t>
            </w:r>
            <w:r>
              <w:rPr>
                <w:i/>
                <w:sz w:val="24"/>
                <w:szCs w:val="24"/>
              </w:rPr>
              <w:t xml:space="preserve">continued </w:t>
            </w: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r>
              <w:rPr>
                <w:b/>
                <w:sz w:val="24"/>
                <w:szCs w:val="24"/>
              </w:rPr>
              <w:t xml:space="preserve">Concurrent Enrollment Advisory Board; Membership; Duties, </w:t>
            </w:r>
            <w:r>
              <w:rPr>
                <w:i/>
                <w:sz w:val="24"/>
                <w:szCs w:val="24"/>
              </w:rPr>
              <w:t xml:space="preserve">continued </w:t>
            </w: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p w:rsidR="00806084" w:rsidRDefault="00806084">
            <w:pPr>
              <w:spacing w:line="240" w:lineRule="auto"/>
              <w:rPr>
                <w:b/>
                <w:sz w:val="24"/>
                <w:szCs w:val="24"/>
              </w:rPr>
            </w:pPr>
          </w:p>
        </w:tc>
        <w:tc>
          <w:tcPr>
            <w:tcW w:w="5204" w:type="dxa"/>
            <w:tcBorders>
              <w:top w:val="single" w:sz="4" w:space="0" w:color="auto"/>
              <w:left w:val="single" w:sz="4" w:space="0" w:color="auto"/>
              <w:bottom w:val="single" w:sz="4" w:space="0" w:color="auto"/>
              <w:right w:val="single" w:sz="4" w:space="0" w:color="auto"/>
            </w:tcBorders>
          </w:tcPr>
          <w:p w:rsidR="00806084" w:rsidRDefault="00806084">
            <w:pPr>
              <w:spacing w:line="240" w:lineRule="auto"/>
              <w:rPr>
                <w:sz w:val="24"/>
                <w:szCs w:val="24"/>
              </w:rPr>
            </w:pPr>
            <w:r>
              <w:rPr>
                <w:sz w:val="24"/>
                <w:szCs w:val="24"/>
              </w:rPr>
              <w:lastRenderedPageBreak/>
              <w:t xml:space="preserve">A postsecondary institution offering concurrent enrollment courses must establish an advisory board to engage stakeholders in concurrent enrollment decisions. </w:t>
            </w:r>
          </w:p>
          <w:p w:rsidR="00806084" w:rsidRDefault="00806084">
            <w:pPr>
              <w:spacing w:line="240" w:lineRule="auto"/>
              <w:rPr>
                <w:sz w:val="24"/>
                <w:szCs w:val="24"/>
              </w:rPr>
            </w:pPr>
          </w:p>
          <w:p w:rsidR="00806084" w:rsidRDefault="00806084">
            <w:pPr>
              <w:spacing w:line="240" w:lineRule="auto"/>
              <w:rPr>
                <w:sz w:val="24"/>
                <w:szCs w:val="24"/>
              </w:rPr>
            </w:pPr>
            <w:r>
              <w:rPr>
                <w:sz w:val="24"/>
                <w:szCs w:val="24"/>
              </w:rPr>
              <w:t xml:space="preserve">The duties of the board must include the following: </w:t>
            </w:r>
          </w:p>
          <w:p w:rsidR="00806084" w:rsidRDefault="00806084">
            <w:pPr>
              <w:spacing w:line="240" w:lineRule="auto"/>
              <w:rPr>
                <w:sz w:val="24"/>
                <w:szCs w:val="24"/>
              </w:rPr>
            </w:pPr>
            <w:r>
              <w:rPr>
                <w:sz w:val="24"/>
                <w:szCs w:val="24"/>
              </w:rPr>
              <w:t xml:space="preserve">(1) providing strategic advice and input relating to concurrent enrollment issues; </w:t>
            </w:r>
          </w:p>
          <w:p w:rsidR="00806084" w:rsidRDefault="00806084">
            <w:pPr>
              <w:spacing w:line="240" w:lineRule="auto"/>
              <w:rPr>
                <w:sz w:val="24"/>
                <w:szCs w:val="24"/>
              </w:rPr>
            </w:pPr>
            <w:r>
              <w:rPr>
                <w:sz w:val="24"/>
                <w:szCs w:val="24"/>
              </w:rPr>
              <w:t xml:space="preserve">(2) recommend and review proposals for concurrent enrollment course offerings; </w:t>
            </w:r>
          </w:p>
          <w:p w:rsidR="00806084" w:rsidRDefault="00806084">
            <w:pPr>
              <w:spacing w:line="240" w:lineRule="auto"/>
              <w:rPr>
                <w:sz w:val="24"/>
                <w:szCs w:val="24"/>
              </w:rPr>
            </w:pPr>
            <w:r>
              <w:rPr>
                <w:sz w:val="24"/>
                <w:szCs w:val="24"/>
              </w:rPr>
              <w:t xml:space="preserve">(3) serve as a coordinating entity between secondary education and postsecondary institutions; and </w:t>
            </w:r>
          </w:p>
          <w:p w:rsidR="00806084" w:rsidRDefault="00806084">
            <w:pPr>
              <w:spacing w:line="240" w:lineRule="auto"/>
              <w:rPr>
                <w:sz w:val="24"/>
                <w:szCs w:val="24"/>
              </w:rPr>
            </w:pPr>
            <w:r>
              <w:rPr>
                <w:sz w:val="24"/>
                <w:szCs w:val="24"/>
              </w:rPr>
              <w:t xml:space="preserve">(4) </w:t>
            </w:r>
            <w:proofErr w:type="gramStart"/>
            <w:r>
              <w:rPr>
                <w:sz w:val="24"/>
                <w:szCs w:val="24"/>
              </w:rPr>
              <w:t>increase</w:t>
            </w:r>
            <w:proofErr w:type="gramEnd"/>
            <w:r>
              <w:rPr>
                <w:sz w:val="24"/>
                <w:szCs w:val="24"/>
              </w:rPr>
              <w:t xml:space="preserve"> the understanding and collaboration among concurrent enrollment partners, stakeholders, the legislature, and the public. </w:t>
            </w:r>
          </w:p>
          <w:p w:rsidR="00806084" w:rsidRDefault="00806084">
            <w:pPr>
              <w:spacing w:line="240" w:lineRule="auto"/>
              <w:rPr>
                <w:sz w:val="24"/>
                <w:szCs w:val="24"/>
              </w:rPr>
            </w:pPr>
          </w:p>
          <w:p w:rsidR="00806084" w:rsidRDefault="00806084">
            <w:pPr>
              <w:spacing w:line="240" w:lineRule="auto"/>
              <w:rPr>
                <w:sz w:val="24"/>
                <w:szCs w:val="24"/>
              </w:rPr>
            </w:pPr>
            <w:r>
              <w:rPr>
                <w:sz w:val="24"/>
                <w:szCs w:val="24"/>
              </w:rPr>
              <w:t>The advisory board at each institution must consist of 16 members (or less if the institution determines the extent of its program warrants a smaller board), with a faculty coordinator as the chair. Advisory board members, appointed by the postsecondary institution, must be balanced based on geography, school size, and include, if practical, representatives from the following:</w:t>
            </w:r>
          </w:p>
          <w:p w:rsidR="00806084" w:rsidRDefault="00806084">
            <w:pPr>
              <w:spacing w:line="240" w:lineRule="auto"/>
              <w:ind w:left="720"/>
              <w:rPr>
                <w:sz w:val="24"/>
                <w:szCs w:val="24"/>
              </w:rPr>
            </w:pPr>
            <w:r>
              <w:rPr>
                <w:sz w:val="24"/>
                <w:szCs w:val="24"/>
              </w:rPr>
              <w:t>(1) postsecondary faculty members;</w:t>
            </w:r>
          </w:p>
          <w:p w:rsidR="00806084" w:rsidRDefault="00806084">
            <w:pPr>
              <w:spacing w:line="240" w:lineRule="auto"/>
              <w:ind w:left="720"/>
              <w:rPr>
                <w:sz w:val="24"/>
                <w:szCs w:val="24"/>
              </w:rPr>
            </w:pPr>
            <w:r>
              <w:rPr>
                <w:sz w:val="24"/>
                <w:szCs w:val="24"/>
              </w:rPr>
              <w:t>(2) school superintendents;</w:t>
            </w:r>
          </w:p>
          <w:p w:rsidR="00806084" w:rsidRDefault="00806084">
            <w:pPr>
              <w:spacing w:line="240" w:lineRule="auto"/>
              <w:ind w:left="720"/>
              <w:rPr>
                <w:sz w:val="24"/>
                <w:szCs w:val="24"/>
              </w:rPr>
            </w:pPr>
            <w:r>
              <w:rPr>
                <w:sz w:val="24"/>
                <w:szCs w:val="24"/>
              </w:rPr>
              <w:t>(3) high school principals;</w:t>
            </w:r>
          </w:p>
          <w:p w:rsidR="00806084" w:rsidRDefault="00806084">
            <w:pPr>
              <w:spacing w:line="240" w:lineRule="auto"/>
              <w:ind w:left="720"/>
              <w:rPr>
                <w:sz w:val="24"/>
                <w:szCs w:val="24"/>
              </w:rPr>
            </w:pPr>
            <w:r>
              <w:rPr>
                <w:sz w:val="24"/>
                <w:szCs w:val="24"/>
              </w:rPr>
              <w:t>(4) concurrent enrollment teachers;</w:t>
            </w:r>
          </w:p>
          <w:p w:rsidR="00806084" w:rsidRDefault="00806084">
            <w:pPr>
              <w:spacing w:line="240" w:lineRule="auto"/>
              <w:ind w:left="720"/>
              <w:rPr>
                <w:sz w:val="24"/>
                <w:szCs w:val="24"/>
              </w:rPr>
            </w:pPr>
            <w:r>
              <w:rPr>
                <w:sz w:val="24"/>
                <w:szCs w:val="24"/>
              </w:rPr>
              <w:t>(5) high school counselors;</w:t>
            </w:r>
          </w:p>
          <w:p w:rsidR="00806084" w:rsidRDefault="00806084">
            <w:pPr>
              <w:spacing w:line="240" w:lineRule="auto"/>
              <w:ind w:left="720"/>
              <w:rPr>
                <w:sz w:val="24"/>
                <w:szCs w:val="24"/>
              </w:rPr>
            </w:pPr>
            <w:r>
              <w:rPr>
                <w:sz w:val="24"/>
                <w:szCs w:val="24"/>
              </w:rPr>
              <w:t>(6) charter school administrators;</w:t>
            </w:r>
          </w:p>
          <w:p w:rsidR="00806084" w:rsidRDefault="00806084">
            <w:pPr>
              <w:spacing w:line="240" w:lineRule="auto"/>
              <w:ind w:left="720"/>
              <w:rPr>
                <w:sz w:val="24"/>
                <w:szCs w:val="24"/>
              </w:rPr>
            </w:pPr>
            <w:r>
              <w:rPr>
                <w:sz w:val="24"/>
                <w:szCs w:val="24"/>
              </w:rPr>
              <w:t>(7) school board members;</w:t>
            </w:r>
          </w:p>
          <w:p w:rsidR="00806084" w:rsidRDefault="00806084">
            <w:pPr>
              <w:spacing w:line="240" w:lineRule="auto"/>
              <w:ind w:left="720"/>
              <w:rPr>
                <w:sz w:val="24"/>
                <w:szCs w:val="24"/>
              </w:rPr>
            </w:pPr>
            <w:r>
              <w:rPr>
                <w:sz w:val="24"/>
                <w:szCs w:val="24"/>
              </w:rPr>
              <w:t>(8) secondary academic administrators;</w:t>
            </w:r>
          </w:p>
          <w:p w:rsidR="00806084" w:rsidRDefault="00806084">
            <w:pPr>
              <w:spacing w:line="240" w:lineRule="auto"/>
              <w:ind w:left="720"/>
              <w:rPr>
                <w:sz w:val="24"/>
                <w:szCs w:val="24"/>
              </w:rPr>
            </w:pPr>
            <w:r>
              <w:rPr>
                <w:sz w:val="24"/>
                <w:szCs w:val="24"/>
              </w:rPr>
              <w:t>(9) parents; and</w:t>
            </w:r>
          </w:p>
          <w:p w:rsidR="00806084" w:rsidRDefault="00806084">
            <w:pPr>
              <w:spacing w:line="240" w:lineRule="auto"/>
              <w:ind w:left="720"/>
              <w:rPr>
                <w:sz w:val="24"/>
                <w:szCs w:val="24"/>
              </w:rPr>
            </w:pPr>
            <w:r>
              <w:rPr>
                <w:sz w:val="24"/>
                <w:szCs w:val="24"/>
              </w:rPr>
              <w:t xml:space="preserve">(10) </w:t>
            </w:r>
            <w:proofErr w:type="gramStart"/>
            <w:r>
              <w:rPr>
                <w:sz w:val="24"/>
                <w:szCs w:val="24"/>
              </w:rPr>
              <w:t>other</w:t>
            </w:r>
            <w:proofErr w:type="gramEnd"/>
            <w:r>
              <w:rPr>
                <w:sz w:val="24"/>
                <w:szCs w:val="24"/>
              </w:rPr>
              <w:t xml:space="preserve"> local organizations.</w:t>
            </w:r>
          </w:p>
          <w:p w:rsidR="00806084" w:rsidRDefault="00806084">
            <w:pPr>
              <w:spacing w:line="240" w:lineRule="auto"/>
              <w:rPr>
                <w:sz w:val="24"/>
                <w:szCs w:val="24"/>
              </w:rPr>
            </w:pPr>
          </w:p>
          <w:p w:rsidR="00806084" w:rsidRDefault="00806084">
            <w:pPr>
              <w:spacing w:line="240" w:lineRule="auto"/>
              <w:rPr>
                <w:sz w:val="24"/>
                <w:szCs w:val="24"/>
              </w:rPr>
            </w:pPr>
            <w:r>
              <w:rPr>
                <w:sz w:val="24"/>
                <w:szCs w:val="24"/>
              </w:rPr>
              <w:t xml:space="preserve">The postsecondary institution shall provide administrative services and meeting space for the </w:t>
            </w:r>
            <w:r>
              <w:rPr>
                <w:sz w:val="24"/>
                <w:szCs w:val="24"/>
              </w:rPr>
              <w:lastRenderedPageBreak/>
              <w:t xml:space="preserve">board to do its work. Members of the board serve without compensation and shall meet periodically as requested by the postsecondary institution to provide advice and proposals. </w:t>
            </w:r>
          </w:p>
          <w:p w:rsidR="00806084" w:rsidRDefault="00806084">
            <w:pPr>
              <w:spacing w:line="240" w:lineRule="auto"/>
              <w:rPr>
                <w:sz w:val="24"/>
                <w:szCs w:val="24"/>
              </w:rPr>
            </w:pPr>
          </w:p>
          <w:p w:rsidR="00806084" w:rsidRDefault="00806084">
            <w:pPr>
              <w:spacing w:line="240" w:lineRule="auto"/>
              <w:rPr>
                <w:sz w:val="24"/>
                <w:szCs w:val="24"/>
              </w:rPr>
            </w:pPr>
            <w:r>
              <w:rPr>
                <w:sz w:val="24"/>
                <w:szCs w:val="24"/>
              </w:rPr>
              <w:t>Except for the original members, advisory board members must serve three-year staggered terms. The postsecondary institution shall designate the terms of the first members so that an approximately equal number serve terms of two, three, and four years. A board established under this section expires when the postsecondary institution no longer offers concurrent enrollment course offerings.</w:t>
            </w:r>
          </w:p>
          <w:p w:rsidR="00806084" w:rsidRDefault="00806084">
            <w:pPr>
              <w:spacing w:line="240" w:lineRule="auto"/>
              <w:rPr>
                <w:sz w:val="24"/>
                <w:szCs w:val="24"/>
              </w:rPr>
            </w:pPr>
          </w:p>
          <w:p w:rsidR="00806084" w:rsidRDefault="00806084">
            <w:pPr>
              <w:spacing w:line="240" w:lineRule="auto"/>
              <w:rPr>
                <w:sz w:val="24"/>
                <w:szCs w:val="24"/>
              </w:rPr>
            </w:pPr>
            <w:r>
              <w:rPr>
                <w:sz w:val="24"/>
                <w:szCs w:val="24"/>
              </w:rPr>
              <w:t xml:space="preserve">The postsecondary institution shall appoint the first members to the advisory board by October 31, 2015, or by October 15 following the year it establishes a concurrent enrollment program. </w:t>
            </w:r>
          </w:p>
          <w:p w:rsidR="00806084" w:rsidRDefault="00806084">
            <w:pPr>
              <w:spacing w:line="240" w:lineRule="auto"/>
              <w:rPr>
                <w:sz w:val="24"/>
                <w:szCs w:val="24"/>
              </w:rPr>
            </w:pPr>
          </w:p>
        </w:tc>
      </w:tr>
      <w:tr w:rsidR="00806084" w:rsidTr="00806084">
        <w:tc>
          <w:tcPr>
            <w:tcW w:w="1721" w:type="dxa"/>
            <w:tcBorders>
              <w:top w:val="single" w:sz="4" w:space="0" w:color="auto"/>
              <w:left w:val="single" w:sz="4" w:space="0" w:color="auto"/>
              <w:bottom w:val="single" w:sz="4" w:space="0" w:color="auto"/>
              <w:right w:val="single" w:sz="4" w:space="0" w:color="auto"/>
            </w:tcBorders>
          </w:tcPr>
          <w:p w:rsidR="00806084" w:rsidRDefault="00806084">
            <w:pPr>
              <w:spacing w:line="240" w:lineRule="auto"/>
              <w:rPr>
                <w:b/>
                <w:bCs/>
                <w:sz w:val="24"/>
                <w:szCs w:val="24"/>
              </w:rPr>
            </w:pPr>
            <w:r>
              <w:rPr>
                <w:b/>
                <w:bCs/>
                <w:sz w:val="24"/>
                <w:szCs w:val="24"/>
              </w:rPr>
              <w:lastRenderedPageBreak/>
              <w:t>NACEP Accreditation</w:t>
            </w:r>
          </w:p>
          <w:p w:rsidR="00806084" w:rsidRDefault="00806084">
            <w:pPr>
              <w:spacing w:line="240" w:lineRule="auto"/>
              <w:rPr>
                <w:b/>
                <w:bCs/>
                <w:sz w:val="24"/>
                <w:szCs w:val="24"/>
              </w:rPr>
            </w:pPr>
          </w:p>
        </w:tc>
        <w:tc>
          <w:tcPr>
            <w:tcW w:w="5204" w:type="dxa"/>
            <w:tcBorders>
              <w:top w:val="single" w:sz="4" w:space="0" w:color="auto"/>
              <w:left w:val="single" w:sz="4" w:space="0" w:color="auto"/>
              <w:bottom w:val="single" w:sz="4" w:space="0" w:color="auto"/>
              <w:right w:val="single" w:sz="4" w:space="0" w:color="auto"/>
            </w:tcBorders>
          </w:tcPr>
          <w:p w:rsidR="00806084" w:rsidRDefault="00806084">
            <w:pPr>
              <w:spacing w:line="240" w:lineRule="auto"/>
              <w:rPr>
                <w:sz w:val="24"/>
                <w:szCs w:val="24"/>
              </w:rPr>
            </w:pPr>
            <w:r>
              <w:rPr>
                <w:sz w:val="24"/>
                <w:szCs w:val="24"/>
              </w:rPr>
              <w:t>Postsecondary institutions must adopt and implement the National Alliance of Concurrent Enrollment Partnership's program standards and required evidence for accreditation by the 2020-2021 school year and later.</w:t>
            </w:r>
          </w:p>
          <w:p w:rsidR="00806084" w:rsidRDefault="00806084">
            <w:pPr>
              <w:spacing w:line="240" w:lineRule="auto"/>
              <w:rPr>
                <w:sz w:val="24"/>
                <w:szCs w:val="24"/>
              </w:rPr>
            </w:pPr>
          </w:p>
        </w:tc>
      </w:tr>
      <w:tr w:rsidR="00806084" w:rsidTr="00806084">
        <w:trPr>
          <w:trHeight w:val="2681"/>
        </w:trPr>
        <w:tc>
          <w:tcPr>
            <w:tcW w:w="1721" w:type="dxa"/>
            <w:tcBorders>
              <w:top w:val="single" w:sz="4" w:space="0" w:color="auto"/>
              <w:left w:val="single" w:sz="4" w:space="0" w:color="auto"/>
              <w:bottom w:val="single" w:sz="4" w:space="0" w:color="auto"/>
              <w:right w:val="single" w:sz="4" w:space="0" w:color="auto"/>
            </w:tcBorders>
            <w:hideMark/>
          </w:tcPr>
          <w:p w:rsidR="00806084" w:rsidRDefault="00806084">
            <w:pPr>
              <w:spacing w:line="240" w:lineRule="auto"/>
              <w:rPr>
                <w:b/>
                <w:bCs/>
                <w:sz w:val="24"/>
                <w:szCs w:val="24"/>
              </w:rPr>
            </w:pPr>
            <w:r>
              <w:rPr>
                <w:b/>
                <w:bCs/>
                <w:sz w:val="24"/>
                <w:szCs w:val="24"/>
              </w:rPr>
              <w:t>Concurrent Enrollment Eligibility to 9</w:t>
            </w:r>
            <w:r>
              <w:rPr>
                <w:b/>
                <w:bCs/>
                <w:sz w:val="24"/>
                <w:szCs w:val="24"/>
                <w:vertAlign w:val="superscript"/>
              </w:rPr>
              <w:t>th</w:t>
            </w:r>
            <w:r>
              <w:rPr>
                <w:b/>
                <w:bCs/>
                <w:sz w:val="24"/>
                <w:szCs w:val="24"/>
              </w:rPr>
              <w:t xml:space="preserve"> and 10</w:t>
            </w:r>
            <w:r>
              <w:rPr>
                <w:b/>
                <w:bCs/>
                <w:sz w:val="24"/>
                <w:szCs w:val="24"/>
                <w:vertAlign w:val="superscript"/>
              </w:rPr>
              <w:t>th</w:t>
            </w:r>
            <w:r>
              <w:rPr>
                <w:b/>
                <w:bCs/>
                <w:sz w:val="24"/>
                <w:szCs w:val="24"/>
              </w:rPr>
              <w:t xml:space="preserve"> Graders</w:t>
            </w:r>
          </w:p>
        </w:tc>
        <w:tc>
          <w:tcPr>
            <w:tcW w:w="5204" w:type="dxa"/>
            <w:tcBorders>
              <w:top w:val="single" w:sz="4" w:space="0" w:color="auto"/>
              <w:left w:val="single" w:sz="4" w:space="0" w:color="auto"/>
              <w:bottom w:val="single" w:sz="4" w:space="0" w:color="auto"/>
              <w:right w:val="single" w:sz="4" w:space="0" w:color="auto"/>
            </w:tcBorders>
            <w:hideMark/>
          </w:tcPr>
          <w:p w:rsidR="00806084" w:rsidRDefault="00806084">
            <w:pPr>
              <w:spacing w:line="240" w:lineRule="auto"/>
              <w:rPr>
                <w:bCs/>
                <w:sz w:val="24"/>
                <w:szCs w:val="24"/>
              </w:rPr>
            </w:pPr>
            <w:r>
              <w:rPr>
                <w:bCs/>
                <w:sz w:val="24"/>
                <w:szCs w:val="24"/>
              </w:rPr>
              <w:t>9</w:t>
            </w:r>
            <w:r>
              <w:rPr>
                <w:bCs/>
                <w:sz w:val="24"/>
                <w:szCs w:val="24"/>
                <w:vertAlign w:val="superscript"/>
              </w:rPr>
              <w:t>th</w:t>
            </w:r>
            <w:r>
              <w:rPr>
                <w:bCs/>
                <w:sz w:val="24"/>
                <w:szCs w:val="24"/>
              </w:rPr>
              <w:t xml:space="preserve"> and 10</w:t>
            </w:r>
            <w:r>
              <w:rPr>
                <w:bCs/>
                <w:sz w:val="24"/>
                <w:szCs w:val="24"/>
                <w:vertAlign w:val="superscript"/>
              </w:rPr>
              <w:t>th</w:t>
            </w:r>
            <w:r>
              <w:rPr>
                <w:bCs/>
                <w:sz w:val="24"/>
                <w:szCs w:val="24"/>
              </w:rPr>
              <w:t xml:space="preserve"> grade student may enroll in concurrent enrollment courses if the school district and postsecondary institution agree to the student’s enrollment OR if the course is a world language course currently available to 11</w:t>
            </w:r>
            <w:r>
              <w:rPr>
                <w:bCs/>
                <w:sz w:val="24"/>
                <w:szCs w:val="24"/>
                <w:vertAlign w:val="superscript"/>
              </w:rPr>
              <w:t>th</w:t>
            </w:r>
            <w:r>
              <w:rPr>
                <w:bCs/>
                <w:sz w:val="24"/>
                <w:szCs w:val="24"/>
              </w:rPr>
              <w:t xml:space="preserve"> and 12</w:t>
            </w:r>
            <w:r>
              <w:rPr>
                <w:bCs/>
                <w:sz w:val="24"/>
                <w:szCs w:val="24"/>
                <w:vertAlign w:val="superscript"/>
              </w:rPr>
              <w:t>th</w:t>
            </w:r>
            <w:r>
              <w:rPr>
                <w:bCs/>
                <w:sz w:val="24"/>
                <w:szCs w:val="24"/>
              </w:rPr>
              <w:t xml:space="preserve"> graders and is consistent with other laws </w:t>
            </w:r>
            <w:hyperlink r:id="rId4" w:history="1">
              <w:r>
                <w:rPr>
                  <w:rStyle w:val="Hyperlink"/>
                  <w:bCs/>
                  <w:sz w:val="24"/>
                  <w:szCs w:val="24"/>
                </w:rPr>
                <w:t>(§ 120B.022</w:t>
              </w:r>
            </w:hyperlink>
            <w:r>
              <w:rPr>
                <w:bCs/>
                <w:sz w:val="24"/>
                <w:szCs w:val="24"/>
              </w:rPr>
              <w:t xml:space="preserve">) governing world language standards, certificates, and seals. </w:t>
            </w:r>
          </w:p>
        </w:tc>
      </w:tr>
      <w:tr w:rsidR="00806084" w:rsidTr="00806084">
        <w:tc>
          <w:tcPr>
            <w:tcW w:w="1721" w:type="dxa"/>
            <w:tcBorders>
              <w:top w:val="single" w:sz="4" w:space="0" w:color="auto"/>
              <w:left w:val="single" w:sz="4" w:space="0" w:color="auto"/>
              <w:bottom w:val="single" w:sz="4" w:space="0" w:color="auto"/>
              <w:right w:val="single" w:sz="4" w:space="0" w:color="auto"/>
            </w:tcBorders>
          </w:tcPr>
          <w:p w:rsidR="00806084" w:rsidRDefault="00806084">
            <w:pPr>
              <w:spacing w:line="240" w:lineRule="auto"/>
              <w:rPr>
                <w:b/>
                <w:bCs/>
                <w:sz w:val="24"/>
                <w:szCs w:val="24"/>
              </w:rPr>
            </w:pPr>
            <w:r>
              <w:rPr>
                <w:b/>
                <w:bCs/>
                <w:sz w:val="24"/>
                <w:szCs w:val="24"/>
              </w:rPr>
              <w:t xml:space="preserve">Rigorous Course Taking Information </w:t>
            </w:r>
          </w:p>
          <w:p w:rsidR="00806084" w:rsidRDefault="00806084">
            <w:pPr>
              <w:spacing w:line="240" w:lineRule="auto"/>
              <w:rPr>
                <w:b/>
                <w:bCs/>
                <w:sz w:val="24"/>
                <w:szCs w:val="24"/>
              </w:rPr>
            </w:pPr>
          </w:p>
        </w:tc>
        <w:tc>
          <w:tcPr>
            <w:tcW w:w="5204" w:type="dxa"/>
            <w:tcBorders>
              <w:top w:val="single" w:sz="4" w:space="0" w:color="auto"/>
              <w:left w:val="single" w:sz="4" w:space="0" w:color="auto"/>
              <w:bottom w:val="single" w:sz="4" w:space="0" w:color="auto"/>
              <w:right w:val="single" w:sz="4" w:space="0" w:color="auto"/>
            </w:tcBorders>
          </w:tcPr>
          <w:p w:rsidR="00806084" w:rsidRDefault="00806084">
            <w:pPr>
              <w:spacing w:line="240" w:lineRule="auto"/>
              <w:rPr>
                <w:sz w:val="24"/>
                <w:szCs w:val="24"/>
              </w:rPr>
            </w:pPr>
            <w:r>
              <w:rPr>
                <w:bCs/>
                <w:sz w:val="24"/>
                <w:szCs w:val="24"/>
              </w:rPr>
              <w:t xml:space="preserve">Each year, the Minnesota Department of Education submits a report on rigorous course-taking. Starting in 2015-2016, the report will also include </w:t>
            </w:r>
            <w:r>
              <w:rPr>
                <w:sz w:val="24"/>
                <w:szCs w:val="24"/>
              </w:rPr>
              <w:t>career and technical education courses offered as a concurrent enrollment course and expenditures.</w:t>
            </w:r>
          </w:p>
          <w:p w:rsidR="00806084" w:rsidRDefault="00806084">
            <w:pPr>
              <w:spacing w:line="240" w:lineRule="auto"/>
              <w:rPr>
                <w:sz w:val="24"/>
                <w:szCs w:val="24"/>
              </w:rPr>
            </w:pPr>
          </w:p>
        </w:tc>
      </w:tr>
      <w:tr w:rsidR="00806084" w:rsidTr="00806084">
        <w:trPr>
          <w:trHeight w:val="2411"/>
        </w:trPr>
        <w:tc>
          <w:tcPr>
            <w:tcW w:w="1721" w:type="dxa"/>
            <w:tcBorders>
              <w:top w:val="single" w:sz="4" w:space="0" w:color="auto"/>
              <w:left w:val="single" w:sz="4" w:space="0" w:color="auto"/>
              <w:bottom w:val="single" w:sz="4" w:space="0" w:color="auto"/>
              <w:right w:val="single" w:sz="4" w:space="0" w:color="auto"/>
            </w:tcBorders>
          </w:tcPr>
          <w:p w:rsidR="00806084" w:rsidRDefault="00806084">
            <w:pPr>
              <w:spacing w:line="240" w:lineRule="auto"/>
              <w:rPr>
                <w:b/>
                <w:bCs/>
                <w:sz w:val="24"/>
                <w:szCs w:val="24"/>
              </w:rPr>
            </w:pPr>
            <w:r>
              <w:rPr>
                <w:b/>
                <w:bCs/>
                <w:sz w:val="24"/>
                <w:szCs w:val="24"/>
              </w:rPr>
              <w:lastRenderedPageBreak/>
              <w:t>PSEO and Concurrent Enrollment Credit Transfer</w:t>
            </w:r>
          </w:p>
          <w:p w:rsidR="00806084" w:rsidRDefault="00806084">
            <w:pPr>
              <w:spacing w:line="240" w:lineRule="auto"/>
              <w:rPr>
                <w:b/>
                <w:bCs/>
                <w:sz w:val="24"/>
                <w:szCs w:val="24"/>
              </w:rPr>
            </w:pPr>
          </w:p>
          <w:p w:rsidR="00806084" w:rsidRDefault="00806084">
            <w:pPr>
              <w:spacing w:line="240" w:lineRule="auto"/>
              <w:rPr>
                <w:b/>
                <w:bCs/>
                <w:sz w:val="24"/>
                <w:szCs w:val="24"/>
              </w:rPr>
            </w:pPr>
          </w:p>
          <w:p w:rsidR="00806084" w:rsidRDefault="00806084">
            <w:pPr>
              <w:spacing w:line="240" w:lineRule="auto"/>
              <w:rPr>
                <w:b/>
                <w:bCs/>
                <w:sz w:val="24"/>
                <w:szCs w:val="24"/>
              </w:rPr>
            </w:pPr>
          </w:p>
          <w:p w:rsidR="00806084" w:rsidRDefault="00806084">
            <w:pPr>
              <w:spacing w:line="240" w:lineRule="auto"/>
              <w:rPr>
                <w:b/>
                <w:bCs/>
                <w:sz w:val="24"/>
                <w:szCs w:val="24"/>
              </w:rPr>
            </w:pPr>
          </w:p>
          <w:p w:rsidR="00806084" w:rsidRDefault="00806084">
            <w:pPr>
              <w:spacing w:line="240" w:lineRule="auto"/>
              <w:rPr>
                <w:b/>
                <w:bCs/>
                <w:sz w:val="24"/>
                <w:szCs w:val="24"/>
              </w:rPr>
            </w:pPr>
          </w:p>
          <w:p w:rsidR="00806084" w:rsidRDefault="00806084">
            <w:pPr>
              <w:spacing w:line="240" w:lineRule="auto"/>
              <w:rPr>
                <w:b/>
                <w:bCs/>
                <w:sz w:val="24"/>
                <w:szCs w:val="24"/>
              </w:rPr>
            </w:pPr>
          </w:p>
          <w:p w:rsidR="00806084" w:rsidRDefault="00806084">
            <w:pPr>
              <w:spacing w:line="240" w:lineRule="auto"/>
              <w:rPr>
                <w:b/>
                <w:bCs/>
                <w:sz w:val="24"/>
                <w:szCs w:val="24"/>
              </w:rPr>
            </w:pPr>
          </w:p>
          <w:p w:rsidR="00806084" w:rsidRDefault="00806084">
            <w:pPr>
              <w:spacing w:line="240" w:lineRule="auto"/>
              <w:rPr>
                <w:b/>
                <w:bCs/>
                <w:sz w:val="24"/>
                <w:szCs w:val="24"/>
              </w:rPr>
            </w:pPr>
          </w:p>
          <w:p w:rsidR="00806084" w:rsidRDefault="00806084" w:rsidP="00806084">
            <w:pPr>
              <w:spacing w:line="240" w:lineRule="auto"/>
              <w:rPr>
                <w:b/>
                <w:bCs/>
                <w:sz w:val="24"/>
                <w:szCs w:val="24"/>
              </w:rPr>
            </w:pPr>
            <w:bookmarkStart w:id="0" w:name="_GoBack"/>
            <w:bookmarkEnd w:id="0"/>
          </w:p>
        </w:tc>
        <w:tc>
          <w:tcPr>
            <w:tcW w:w="5204" w:type="dxa"/>
            <w:tcBorders>
              <w:top w:val="single" w:sz="4" w:space="0" w:color="auto"/>
              <w:left w:val="single" w:sz="4" w:space="0" w:color="auto"/>
              <w:bottom w:val="single" w:sz="4" w:space="0" w:color="auto"/>
              <w:right w:val="single" w:sz="4" w:space="0" w:color="auto"/>
            </w:tcBorders>
          </w:tcPr>
          <w:p w:rsidR="00806084" w:rsidRDefault="00806084">
            <w:pPr>
              <w:spacing w:line="240" w:lineRule="auto"/>
              <w:rPr>
                <w:b/>
                <w:bCs/>
                <w:sz w:val="24"/>
                <w:szCs w:val="24"/>
              </w:rPr>
            </w:pPr>
            <w:r>
              <w:rPr>
                <w:bCs/>
                <w:sz w:val="24"/>
                <w:szCs w:val="24"/>
              </w:rPr>
              <w:t xml:space="preserve">All MnSCU institutions must give full credit to PSEO and concurrent enrollment courses, including </w:t>
            </w:r>
            <w:proofErr w:type="spellStart"/>
            <w:r>
              <w:rPr>
                <w:bCs/>
                <w:sz w:val="24"/>
                <w:szCs w:val="24"/>
              </w:rPr>
              <w:t>MnTC</w:t>
            </w:r>
            <w:proofErr w:type="spellEnd"/>
            <w:r>
              <w:rPr>
                <w:bCs/>
                <w:sz w:val="24"/>
                <w:szCs w:val="24"/>
              </w:rPr>
              <w:t xml:space="preserve"> goal areas, at a MnSCU institution when the student enrolls in a MnSCU institution after graduating high school. </w:t>
            </w:r>
          </w:p>
          <w:p w:rsidR="00806084" w:rsidRDefault="00806084">
            <w:pPr>
              <w:spacing w:line="240" w:lineRule="auto"/>
              <w:rPr>
                <w:sz w:val="24"/>
                <w:szCs w:val="24"/>
              </w:rPr>
            </w:pPr>
          </w:p>
          <w:p w:rsidR="00806084" w:rsidRDefault="00806084">
            <w:pPr>
              <w:spacing w:line="240" w:lineRule="auto"/>
              <w:rPr>
                <w:sz w:val="24"/>
                <w:szCs w:val="24"/>
              </w:rPr>
            </w:pPr>
          </w:p>
          <w:p w:rsidR="00806084" w:rsidRDefault="00806084">
            <w:pPr>
              <w:spacing w:line="240" w:lineRule="auto"/>
              <w:rPr>
                <w:sz w:val="24"/>
                <w:szCs w:val="24"/>
              </w:rPr>
            </w:pPr>
          </w:p>
          <w:p w:rsidR="00806084" w:rsidRDefault="00806084">
            <w:pPr>
              <w:spacing w:line="240" w:lineRule="auto"/>
              <w:rPr>
                <w:sz w:val="24"/>
                <w:szCs w:val="24"/>
              </w:rPr>
            </w:pPr>
          </w:p>
          <w:p w:rsidR="00806084" w:rsidRDefault="00806084">
            <w:pPr>
              <w:spacing w:line="240" w:lineRule="auto"/>
              <w:rPr>
                <w:sz w:val="24"/>
                <w:szCs w:val="24"/>
              </w:rPr>
            </w:pPr>
          </w:p>
          <w:p w:rsidR="00806084" w:rsidRDefault="00806084">
            <w:pPr>
              <w:spacing w:line="240" w:lineRule="auto"/>
              <w:rPr>
                <w:sz w:val="24"/>
                <w:szCs w:val="24"/>
              </w:rPr>
            </w:pPr>
          </w:p>
          <w:p w:rsidR="00806084" w:rsidRDefault="00806084">
            <w:pPr>
              <w:spacing w:line="240" w:lineRule="auto"/>
              <w:rPr>
                <w:sz w:val="24"/>
                <w:szCs w:val="24"/>
              </w:rPr>
            </w:pPr>
          </w:p>
          <w:p w:rsidR="00806084" w:rsidRDefault="00806084">
            <w:pPr>
              <w:tabs>
                <w:tab w:val="left" w:pos="3900"/>
              </w:tabs>
              <w:spacing w:line="240" w:lineRule="auto"/>
              <w:rPr>
                <w:sz w:val="24"/>
                <w:szCs w:val="24"/>
              </w:rPr>
            </w:pPr>
            <w:r>
              <w:rPr>
                <w:sz w:val="24"/>
                <w:szCs w:val="24"/>
              </w:rPr>
              <w:tab/>
            </w:r>
          </w:p>
        </w:tc>
      </w:tr>
    </w:tbl>
    <w:p w:rsidR="00806084" w:rsidRDefault="00806084"/>
    <w:sectPr w:rsidR="00806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84"/>
    <w:rsid w:val="00806084"/>
    <w:rsid w:val="00CA3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03395-DD63-4C39-ADD1-E1509724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08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6084"/>
    <w:rPr>
      <w:color w:val="0563C1" w:themeColor="hyperlink"/>
      <w:u w:val="single"/>
    </w:rPr>
  </w:style>
  <w:style w:type="paragraph" w:styleId="ListParagraph">
    <w:name w:val="List Paragraph"/>
    <w:basedOn w:val="Normal"/>
    <w:uiPriority w:val="34"/>
    <w:qFormat/>
    <w:rsid w:val="00806084"/>
    <w:pPr>
      <w:ind w:left="720"/>
      <w:contextualSpacing/>
    </w:pPr>
  </w:style>
  <w:style w:type="table" w:styleId="TableGrid">
    <w:name w:val="Table Grid"/>
    <w:basedOn w:val="TableNormal"/>
    <w:uiPriority w:val="39"/>
    <w:rsid w:val="008060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48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visor.mn.gov/statutes/?id=120b.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Lundblad</dc:creator>
  <cp:keywords/>
  <dc:description/>
  <cp:lastModifiedBy>Larry Lundblad</cp:lastModifiedBy>
  <cp:revision>1</cp:revision>
  <dcterms:created xsi:type="dcterms:W3CDTF">2015-09-20T20:37:00Z</dcterms:created>
  <dcterms:modified xsi:type="dcterms:W3CDTF">2015-09-20T20:40:00Z</dcterms:modified>
</cp:coreProperties>
</file>